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 xml:space="preserve">МИНИСТЕРСТВО ОБРАЗОВАНИЯ  И НАУКИ </w:t>
      </w:r>
      <w:r w:rsidR="008E7D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РЕСПУБЛИКИ ХАКАСИЯ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ГОСУДАРСТВЕННОЕ  </w:t>
      </w:r>
      <w:r w:rsidR="008E7D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БЮДЖЕТНОЕ П</w:t>
      </w:r>
      <w:r w:rsidR="004F5C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 xml:space="preserve">РОФЕССИОНАЛЬНОЕ ОБРАЗОВАТЕЛЬНОЕ 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УЧРЕЖДЕНИЕ</w:t>
      </w:r>
      <w:r w:rsidR="008E7D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 xml:space="preserve"> РЕСПУБЛИКИ ХАКАСИЯ</w:t>
      </w:r>
    </w:p>
    <w:p w:rsidR="007B322C" w:rsidRDefault="007B322C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«</w:t>
      </w:r>
      <w:r w:rsidR="008E7D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ПРОФЕССИОНАЛЬНОЕ УЧИЛИЩЕ №18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»</w:t>
      </w:r>
    </w:p>
    <w:p w:rsidR="00D800F6" w:rsidRDefault="00D800F6" w:rsidP="00D8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D800F6" w:rsidRDefault="00D800F6" w:rsidP="00D8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Рассмотрено                                          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Согласовано</w:t>
      </w:r>
      <w:proofErr w:type="gramStart"/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У</w:t>
      </w:r>
      <w:proofErr w:type="gramEnd"/>
      <w:r>
        <w:rPr>
          <w:sz w:val="18"/>
          <w:szCs w:val="18"/>
        </w:rPr>
        <w:t xml:space="preserve">тверждаю                                           </w:t>
      </w:r>
    </w:p>
    <w:p w:rsidR="00D800F6" w:rsidRDefault="00D800F6" w:rsidP="00D8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</w:t>
      </w:r>
      <w:r>
        <w:rPr>
          <w:sz w:val="18"/>
          <w:szCs w:val="18"/>
        </w:rPr>
        <w:t xml:space="preserve">на заседании ПЦК технического профиля </w:t>
      </w:r>
      <w:r>
        <w:rPr>
          <w:b/>
          <w:caps/>
          <w:sz w:val="16"/>
          <w:szCs w:val="16"/>
        </w:rPr>
        <w:t xml:space="preserve">             </w:t>
      </w:r>
      <w:proofErr w:type="spellStart"/>
      <w:r>
        <w:rPr>
          <w:caps/>
          <w:sz w:val="16"/>
          <w:szCs w:val="16"/>
        </w:rPr>
        <w:t>з</w:t>
      </w:r>
      <w:r>
        <w:rPr>
          <w:sz w:val="18"/>
          <w:szCs w:val="18"/>
        </w:rPr>
        <w:t>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</w:t>
      </w:r>
      <w:proofErr w:type="spellEnd"/>
      <w:r>
        <w:rPr>
          <w:sz w:val="18"/>
          <w:szCs w:val="18"/>
        </w:rPr>
        <w:t xml:space="preserve"> по УПР</w:t>
      </w:r>
      <w:r>
        <w:rPr>
          <w:caps/>
          <w:sz w:val="16"/>
          <w:szCs w:val="16"/>
        </w:rPr>
        <w:t xml:space="preserve">  </w:t>
      </w:r>
      <w:r>
        <w:rPr>
          <w:b/>
          <w:caps/>
          <w:sz w:val="16"/>
          <w:szCs w:val="16"/>
        </w:rPr>
        <w:t xml:space="preserve">                          </w:t>
      </w:r>
      <w:r>
        <w:rPr>
          <w:b/>
          <w:caps/>
          <w:sz w:val="16"/>
          <w:szCs w:val="16"/>
        </w:rPr>
        <w:t xml:space="preserve">        </w:t>
      </w:r>
      <w:r>
        <w:rPr>
          <w:b/>
          <w:caps/>
          <w:sz w:val="16"/>
          <w:szCs w:val="16"/>
        </w:rPr>
        <w:t xml:space="preserve">      </w:t>
      </w:r>
      <w:r>
        <w:rPr>
          <w:caps/>
          <w:sz w:val="16"/>
          <w:szCs w:val="16"/>
        </w:rPr>
        <w:t>Д</w:t>
      </w:r>
      <w:r>
        <w:rPr>
          <w:sz w:val="18"/>
          <w:szCs w:val="18"/>
        </w:rPr>
        <w:t>иректор  ГБПОУ РХ  ПУ-18</w:t>
      </w:r>
      <w:r>
        <w:rPr>
          <w:caps/>
          <w:sz w:val="16"/>
          <w:szCs w:val="16"/>
        </w:rPr>
        <w:t xml:space="preserve"> </w:t>
      </w:r>
      <w:r>
        <w:rPr>
          <w:b/>
          <w:caps/>
          <w:sz w:val="16"/>
          <w:szCs w:val="16"/>
        </w:rPr>
        <w:t xml:space="preserve">                                 </w:t>
      </w:r>
    </w:p>
    <w:p w:rsidR="00D800F6" w:rsidRDefault="00D800F6" w:rsidP="00D8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b/>
          <w:caps/>
          <w:sz w:val="16"/>
          <w:szCs w:val="16"/>
        </w:rPr>
        <w:t xml:space="preserve"> </w:t>
      </w:r>
      <w:r>
        <w:rPr>
          <w:sz w:val="18"/>
          <w:szCs w:val="18"/>
        </w:rPr>
        <w:t xml:space="preserve">Протокол №__ от  «__»_____    20____г.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__________  </w:t>
      </w:r>
      <w:proofErr w:type="spellStart"/>
      <w:r>
        <w:rPr>
          <w:sz w:val="18"/>
          <w:szCs w:val="18"/>
        </w:rPr>
        <w:t>Э.Ф.Ченкова</w:t>
      </w:r>
      <w:proofErr w:type="spellEnd"/>
      <w:r>
        <w:rPr>
          <w:sz w:val="18"/>
          <w:szCs w:val="18"/>
        </w:rPr>
        <w:t xml:space="preserve">                            __________    </w:t>
      </w:r>
      <w:proofErr w:type="spellStart"/>
      <w:r>
        <w:rPr>
          <w:sz w:val="18"/>
          <w:szCs w:val="18"/>
        </w:rPr>
        <w:t>В.Н.Топоева</w:t>
      </w:r>
      <w:proofErr w:type="spellEnd"/>
      <w:r>
        <w:rPr>
          <w:sz w:val="18"/>
          <w:szCs w:val="18"/>
        </w:rPr>
        <w:t xml:space="preserve">       </w:t>
      </w:r>
    </w:p>
    <w:p w:rsidR="00D800F6" w:rsidRDefault="00D800F6" w:rsidP="00D80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b/>
          <w:caps/>
          <w:sz w:val="16"/>
          <w:szCs w:val="16"/>
        </w:rPr>
        <w:t xml:space="preserve"> </w:t>
      </w:r>
      <w:r>
        <w:rPr>
          <w:sz w:val="18"/>
          <w:szCs w:val="18"/>
        </w:rPr>
        <w:t xml:space="preserve">Председатель ПЦК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«__»_____  20____г.                   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«__»_____  20____г.        </w:t>
      </w:r>
    </w:p>
    <w:p w:rsidR="00D800F6" w:rsidRDefault="00D800F6" w:rsidP="00D800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____________    </w:t>
      </w:r>
      <w:r>
        <w:rPr>
          <w:sz w:val="28"/>
          <w:szCs w:val="28"/>
        </w:rPr>
        <w:t xml:space="preserve">    </w:t>
      </w:r>
      <w:r>
        <w:rPr>
          <w:b/>
          <w:caps/>
          <w:sz w:val="16"/>
          <w:szCs w:val="16"/>
        </w:rPr>
        <w:t xml:space="preserve">                                                                                          </w:t>
      </w:r>
    </w:p>
    <w:p w:rsidR="00D800F6" w:rsidRDefault="00D800F6" w:rsidP="00D800F6">
      <w:pPr>
        <w:widowControl w:val="0"/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</w:p>
    <w:p w:rsidR="00D800F6" w:rsidRDefault="00D800F6" w:rsidP="00D800F6">
      <w:pPr>
        <w:widowControl w:val="0"/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</w:t>
      </w: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</w:pPr>
    </w:p>
    <w:p w:rsidR="008E7D6E" w:rsidRPr="007B322C" w:rsidRDefault="008E7D6E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E7D6E" w:rsidRDefault="008E7D6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F525E" w:rsidRDefault="001F525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22C" w:rsidRDefault="001F525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ОБЩЕПРОФЕССИОНАЛЬНОЙ </w:t>
      </w:r>
      <w:r w:rsidR="007B322C" w:rsidRPr="007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1F525E" w:rsidRPr="007B322C" w:rsidRDefault="001F525E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B322C" w:rsidRDefault="001F525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ОП.02</w:t>
      </w:r>
      <w:r w:rsidR="007B322C" w:rsidRPr="007B3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ОХРАНА ТРУДА</w:t>
      </w:r>
    </w:p>
    <w:p w:rsidR="001F525E" w:rsidRDefault="001F525E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525E" w:rsidRPr="007B322C" w:rsidRDefault="001F525E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B322C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ПРОФЕССИЯ: </w:t>
      </w:r>
      <w:r w:rsidR="007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23.01.03</w:t>
      </w:r>
      <w:r w:rsidR="00E6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Автомеханик</w:t>
      </w:r>
    </w:p>
    <w:p w:rsidR="00290F34" w:rsidRDefault="00290F34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 11А, 21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290F34" w:rsidRDefault="00290F34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</w:t>
      </w:r>
      <w:r w:rsidR="0035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часов: 20 часов (1 курс),  20 часов (2 курс)</w:t>
      </w:r>
    </w:p>
    <w:p w:rsidR="00290F34" w:rsidRPr="007B322C" w:rsidRDefault="00290F34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15" w:rsidRDefault="00912E15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D6E" w:rsidRPr="007B322C" w:rsidRDefault="008E7D6E" w:rsidP="008E7D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1F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общепрофессиональной  дисциплины ОП</w:t>
      </w:r>
      <w:r w:rsidRP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 «Охрана труда» разработана на основе Федерального государственного образовательного стандарта по профессии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</w:t>
      </w:r>
    </w:p>
    <w:p w:rsidR="008E7D6E" w:rsidRPr="001F525E" w:rsidRDefault="008E7D6E" w:rsidP="008E7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23.01.03</w:t>
      </w:r>
      <w:r w:rsidR="001F5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Автомеханик</w:t>
      </w:r>
    </w:p>
    <w:p w:rsidR="001F525E" w:rsidRPr="001F525E" w:rsidRDefault="001F525E" w:rsidP="008E7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25E" w:rsidRPr="001F525E" w:rsidRDefault="001F525E" w:rsidP="008E7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– разработчик:</w:t>
      </w:r>
      <w:r w:rsidR="00E6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5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ГБПОУРХ ПУ-18</w:t>
      </w:r>
    </w:p>
    <w:p w:rsidR="001F525E" w:rsidRPr="001F525E" w:rsidRDefault="001F525E" w:rsidP="008E7D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E7D6E" w:rsidRDefault="008E7D6E" w:rsidP="008E7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="00E6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</w:t>
      </w:r>
      <w:r w:rsidRP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</w:t>
      </w:r>
    </w:p>
    <w:p w:rsidR="008E7D6E" w:rsidRDefault="008E7D6E" w:rsidP="008E7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02" w:rsidRDefault="00E61702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5E" w:rsidRDefault="001F525E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322C" w:rsidRDefault="007B322C" w:rsidP="007B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E5F45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1.Паспорт программы учебной дисциплины         </w:t>
      </w:r>
    </w:p>
    <w:p w:rsidR="007B322C" w:rsidRPr="007B322C" w:rsidRDefault="005E5F45" w:rsidP="007B3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Результаты освоения учебной дисциплины</w:t>
      </w:r>
      <w:r w:rsidR="007B322C"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1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7B322C" w:rsidRPr="007B322C" w:rsidRDefault="005E5F45" w:rsidP="007B3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322C"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.Структура и примерное содержание учебной дис</w:t>
      </w:r>
      <w:r w:rsidR="001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циплины                        </w:t>
      </w:r>
    </w:p>
    <w:p w:rsidR="007B322C" w:rsidRPr="007B322C" w:rsidRDefault="005E5F45" w:rsidP="007B3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322C"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.Условия реализации программы учебной дисциплины             </w:t>
      </w:r>
      <w:r w:rsidR="001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7B322C" w:rsidRPr="007B322C" w:rsidRDefault="005E5F45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B322C"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и оценка результатов освоения уч</w:t>
      </w:r>
      <w:r w:rsidR="001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дисциплины              </w:t>
      </w:r>
    </w:p>
    <w:p w:rsidR="007B322C" w:rsidRP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2E15" w:rsidRPr="00912E15" w:rsidRDefault="00912E15" w:rsidP="00E307C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УЧЕБНОЙ </w:t>
      </w:r>
      <w:r w:rsidR="007B322C" w:rsidRPr="00E3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ОПД.02 «ОХРАНА ТРУДА»</w:t>
      </w:r>
    </w:p>
    <w:p w:rsidR="007B322C" w:rsidRPr="00E307C2" w:rsidRDefault="007B322C" w:rsidP="00E307C2">
      <w:pPr>
        <w:pStyle w:val="a4"/>
        <w:numPr>
          <w:ilvl w:val="1"/>
          <w:numId w:val="2"/>
        </w:num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учебной дисциплины ОПД.02 «Охрана труда»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науки Российской Федерации от 20 мая 2010 г. № 555, по профессии начального профессионального образования</w:t>
      </w:r>
    </w:p>
    <w:p w:rsidR="007B322C" w:rsidRPr="007B322C" w:rsidRDefault="003C7E81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23.01.03</w:t>
      </w:r>
      <w:r w:rsidR="007B322C"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Автомеханик.</w:t>
      </w:r>
    </w:p>
    <w:p w:rsidR="007B322C" w:rsidRPr="007B322C" w:rsidRDefault="007B322C" w:rsidP="007B322C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7B322C" w:rsidRPr="007B322C" w:rsidRDefault="007B322C" w:rsidP="007B322C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ОПД.02 «Охрана труда» входит в общепрофессиональный цикл.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применять методы и средства защиты от опасностей технических систем и технологических процессов;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условия труда в профессиональной деятельности;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экобиозащитную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технику.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воздействие негативных факторов на человека;</w:t>
      </w:r>
    </w:p>
    <w:p w:rsidR="007B322C" w:rsidRPr="007B322C" w:rsidRDefault="007B322C" w:rsidP="007B322C">
      <w:pPr>
        <w:spacing w:after="0" w:line="240" w:lineRule="auto"/>
        <w:ind w:right="-188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правовые, нормативные и организационные основы охраны труда в организации.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7B3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</w:t>
      </w:r>
      <w:r w:rsidR="00E6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</w:t>
      </w:r>
      <w:r w:rsidRPr="007B3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часов</w:t>
      </w: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7B322C" w:rsidRPr="007B322C" w:rsidRDefault="007B322C" w:rsidP="007B322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 </w:t>
      </w:r>
      <w:r w:rsidR="00E61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40 </w:t>
      </w:r>
      <w:r w:rsidRPr="007B3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часа;</w:t>
      </w:r>
    </w:p>
    <w:p w:rsidR="007B322C" w:rsidRDefault="007B322C" w:rsidP="007B3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7B3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="003C7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</w:t>
      </w:r>
      <w:r w:rsidRPr="007B3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часов.</w:t>
      </w:r>
    </w:p>
    <w:p w:rsidR="005E5F45" w:rsidRDefault="005E5F45" w:rsidP="007B3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5F45" w:rsidRPr="005E5F45" w:rsidRDefault="005E5F45" w:rsidP="005E5F4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E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Результаты освоения учебной дисциплины                                          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1.1. Диагностировать автомобиль, его агрегаты и системы.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1.2. Выполнять работы по различным видам технического обслуживания.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1.3. Разбирать, собирать узлы и агрегаты автомобиля и устранять неисправности.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1.4. Оформлять отчетную документацию по техническому обслуживанию.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ПК 2.1. Управлять автомобилями категорий </w:t>
      </w:r>
      <w:r w:rsidR="00E3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E3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E3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="00E3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2.2. Выполнять работы по транспортировке грузов и перевозке пассажиров.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2.3. Осуществлять техническое обслуживание транспортных сре</w:t>
      </w:r>
      <w:proofErr w:type="gramStart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</w:t>
      </w:r>
      <w:proofErr w:type="gramEnd"/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ути следования.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5E5F45" w:rsidRPr="00552AE5" w:rsidRDefault="005E5F45" w:rsidP="00E617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3.2. Проводить технический осмотр и ремонт оборудования заправочных станций</w:t>
      </w:r>
    </w:p>
    <w:p w:rsidR="005E5F45" w:rsidRDefault="005E5F45" w:rsidP="00E6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E5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7B322C" w:rsidRPr="007B322C" w:rsidRDefault="007B322C" w:rsidP="007B322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8"/>
        <w:gridCol w:w="2282"/>
      </w:tblGrid>
      <w:tr w:rsidR="007B322C" w:rsidRPr="007B322C" w:rsidTr="008E7D6E">
        <w:trPr>
          <w:trHeight w:val="46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06db7be9981b5aef02bf87e200ed0857efb9c42"/>
            <w:bookmarkStart w:id="2" w:name="0"/>
            <w:bookmarkEnd w:id="1"/>
            <w:bookmarkEnd w:id="2"/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B322C" w:rsidRPr="007B322C" w:rsidTr="008E7D6E">
        <w:trPr>
          <w:trHeight w:val="28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E61702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B322C" w:rsidRPr="007B322C" w:rsidTr="008E7D6E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E61702" w:rsidP="003C7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B322C" w:rsidRPr="007B322C" w:rsidTr="008E7D6E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B322C" w:rsidRPr="007B322C" w:rsidTr="008E7D6E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теоретических занятий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0C56B7" w:rsidP="00684E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B322C" w:rsidRPr="007B322C" w:rsidTr="008E7D6E">
        <w:trPr>
          <w:trHeight w:val="346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практические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0C56B7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B322C" w:rsidRPr="007B322C" w:rsidTr="008E7D6E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3626B0" w:rsidRDefault="007B322C" w:rsidP="000C56B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="000C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="003626B0" w:rsidRPr="003626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  <w:r w:rsidR="003626B0" w:rsidRPr="003626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626B0" w:rsidRPr="003626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="000C56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дифференцированного </w:t>
            </w:r>
            <w:r w:rsidR="003626B0" w:rsidRPr="003626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684E45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322C" w:rsidRPr="007B322C" w:rsidTr="008E7D6E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  <w:r w:rsid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рефераты)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№1.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термины предмета охрана труда.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права работников на труд в условиях, соответствующих требованиям охраны труда.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компенсации, предоставляемые работникам при выполнении работ с вредными и опасными условиями труда.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ответственности за нарушение требований охраны труда.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микроклимат в производственном помещении.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измерения и борьбы с шумом.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№7.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снижения влияния вибрации на </w:t>
            </w:r>
            <w:proofErr w:type="gramStart"/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№8.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время, его продолжительность.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№9.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предоставления работникам ежегодного отпуска.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№10.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условий и режима работы работников автомобильного транспорта.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№11.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времени отдыха водителей.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№12.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организации труда при выполнении отдельных операций технического обслуживания и ремонта автомобилей.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№13.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движения.</w:t>
            </w:r>
          </w:p>
          <w:p w:rsidR="007B322C" w:rsidRPr="007B322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№14. </w:t>
            </w:r>
            <w:r w:rsidRP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безопасность движения.</w:t>
            </w:r>
            <w:r w:rsidRPr="007B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B322C" w:rsidRPr="007B322C" w:rsidRDefault="007B322C" w:rsidP="007B3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7B322C" w:rsidRDefault="007B322C" w:rsidP="003C7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C7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C7E81" w:rsidRDefault="003C7E81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D6E" w:rsidRDefault="008E7D6E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E81" w:rsidRDefault="003C7E81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E81" w:rsidRDefault="003C7E81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 «Охрана труда».</w:t>
      </w:r>
    </w:p>
    <w:tbl>
      <w:tblPr>
        <w:tblW w:w="14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368"/>
        <w:gridCol w:w="839"/>
        <w:gridCol w:w="1076"/>
      </w:tblGrid>
      <w:tr w:rsidR="007B322C" w:rsidRPr="004F5CEC" w:rsidTr="008F6A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a815a044f33e9a742710fc064b9d7f14af6d3d13"/>
            <w:bookmarkStart w:id="4" w:name="1"/>
            <w:bookmarkEnd w:id="3"/>
            <w:bookmarkEnd w:id="4"/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B322C" w:rsidRPr="004F5CEC" w:rsidRDefault="007B322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E307C2" w:rsidRPr="004F5CEC" w:rsidTr="008F6A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E81" w:rsidRPr="004F5CEC" w:rsidTr="008F6A86">
        <w:trPr>
          <w:trHeight w:val="25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E307C2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7E81"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Основные понятия и терминология охраны труда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 и предмет изучения охраны труда. Безопасность труда как область знаний. </w:t>
            </w:r>
            <w:proofErr w:type="gramStart"/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безопасности труда: труд, производственная деятельность, рабочая зона, рабочее место, производственная безопасность, производственная санитария, гигиена труда, травма, несчастный случай, профессиональное заболевание, негативные факторы, опасность, опасные производственные факторы, вредные производственные факторы, риск.</w:t>
            </w:r>
            <w:proofErr w:type="gramEnd"/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Идентификация опасностей. Классификация условий труда по тяжести и напряженности трудового процесса. Классификация условий труда по факторам производственной среды.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7E81" w:rsidRPr="004F5CEC" w:rsidTr="008F6A86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вопросы охраны труда на автомобильном транспорте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E81" w:rsidRPr="004F5CEC" w:rsidRDefault="003C7E81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4F5CE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7E81" w:rsidRPr="004F5CEC" w:rsidTr="008F6A86">
        <w:trPr>
          <w:trHeight w:val="1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3C7E81" w:rsidRPr="004F5CEC" w:rsidRDefault="003C7E81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законодательства об охране труда.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законодательства об охране на автомобильном транспорте. Основные направления государственной политики в области охраны труда.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81" w:rsidRPr="004F5CEC" w:rsidRDefault="003C7E81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C0148F" w:rsidRPr="004F5CEC" w:rsidTr="008F6A86">
        <w:trPr>
          <w:trHeight w:val="1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C0148F" w:rsidRPr="004F5CEC" w:rsidTr="008F6A86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 работников на труд в условиях, соответствующих требованиям охраны труда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работников в области охраны труда. Гарантии прав работников в области охраны труда. Ограничения и льготы для работников в области охраны труда.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C0148F" w:rsidRPr="004F5CEC" w:rsidTr="008F6A86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8F" w:rsidRPr="004F5CEC" w:rsidRDefault="00C0148F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управления охраной труда на предприятиях автомобильного транспорта.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государственного управления охраной труда. Организация управления охраной труда на предприятии. Обязанности работников службы охраны труда.</w:t>
            </w:r>
            <w:r w:rsidR="008F6A86"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8F6A86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823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1.4.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Ответственность за нарушение требований охраны труда.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C7" w:rsidRPr="004F5CEC" w:rsidRDefault="007855C7" w:rsidP="007B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нарушение требований охраны труда возлагается на работодателя. Дисциплинарная и административная ответственность. Уголовная ответственность.   </w:t>
            </w:r>
          </w:p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5C7" w:rsidRPr="004F5CEC" w:rsidTr="008F6A86">
        <w:trPr>
          <w:trHeight w:val="28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1.5.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надзора за соблюдением законодательств об охране труда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684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надзор и контроль. Государственная экспертиза условий труда. Общественный и ведомственный контроль охраны труда.</w:t>
            </w:r>
            <w:r w:rsidR="00684E45"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684E45">
        <w:trPr>
          <w:trHeight w:val="727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1.6.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 Методы изучения причин производственного травматизма и профессиональных заболеваний. Методика оценки уровня охраны труда на предприятии.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7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1.7.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</w:t>
            </w:r>
            <w:r w:rsidR="00684E45"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несчастных случаев. Порядок оформления и учета несчастных случаев.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4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1.8.</w:t>
            </w:r>
          </w:p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правилам охраны труда.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охраны труда.</w:t>
            </w:r>
          </w:p>
          <w:p w:rsidR="007855C7" w:rsidRPr="004F5CEC" w:rsidRDefault="007855C7" w:rsidP="007B322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4F5CE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8F6A86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855C7" w:rsidRPr="004F5CEC" w:rsidTr="00684E45">
        <w:trPr>
          <w:trHeight w:val="96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5C7" w:rsidRPr="004F5CEC" w:rsidRDefault="007855C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307C2" w:rsidRPr="004F5CEC" w:rsidTr="00684E45">
        <w:trPr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E307C2" w:rsidRDefault="00E307C2" w:rsidP="007B322C">
            <w:pPr>
              <w:spacing w:after="0" w:line="2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307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C2" w:rsidRPr="004F5CEC" w:rsidRDefault="00E307C2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B322C" w:rsidRPr="004F5CEC" w:rsidTr="008F6A86">
        <w:trPr>
          <w:trHeight w:val="6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Производственная санитария.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34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Микроклимат в производственных помещениях.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Микроклимат в производственных помещениях.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7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3977" w:rsidRPr="004F5CEC" w:rsidTr="008F6A86">
        <w:trPr>
          <w:trHeight w:val="4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6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Вентиляция.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приточно-вытяжной вентиляции.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4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322C" w:rsidRPr="004F5CEC" w:rsidTr="008F6A86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</w:t>
            </w:r>
          </w:p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322C" w:rsidRPr="004F5CEC" w:rsidTr="008F6A86">
        <w:trPr>
          <w:trHeight w:val="5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водяного отопления. Комбинированные системы отопления.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и канализация.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водопроводов для предприятия. Системы канализации.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60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2.6.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освещение.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светового потока, освещенности и яркости.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4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3977" w:rsidRPr="004F5CEC" w:rsidTr="008F6A86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2.7.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от шума и вибрации.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шума и вибрации. Интенсивность звука.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63977" w:rsidRPr="004F5CEC" w:rsidTr="008F6A86">
        <w:trPr>
          <w:trHeight w:val="4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7" w:rsidRPr="004F5CEC" w:rsidRDefault="00163977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B322C" w:rsidRPr="004F5CEC" w:rsidTr="008F6A86">
        <w:trPr>
          <w:trHeight w:val="6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Организация труда и отдыха работников автомобильного транспорта.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4F5CE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A225B" w:rsidRPr="004F5CEC" w:rsidTr="008F6A86">
        <w:trPr>
          <w:trHeight w:val="2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2A225B" w:rsidRPr="004F5CEC" w:rsidRDefault="008F6A86" w:rsidP="007B322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труда и отдыха работников автомобильного транспорта</w:t>
            </w:r>
            <w:proofErr w:type="gramStart"/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A225B"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225B" w:rsidRPr="004F5CEC" w:rsidRDefault="002A225B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законодательства о рабочем времени, режиме труда и отдыха. Рабочее время.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4F5CE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A225B" w:rsidRPr="004F5CEC" w:rsidTr="008F6A86">
        <w:trPr>
          <w:trHeight w:val="8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25B" w:rsidRPr="004F5CEC" w:rsidRDefault="002A225B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322C" w:rsidRPr="004F5CEC" w:rsidTr="008F6A86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4F5CEC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 w:rsidR="007B322C"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2A225B" w:rsidP="007B3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B322C" w:rsidRPr="004F5CEC" w:rsidTr="008F6A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8F6A86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6A86" w:rsidRPr="004F5CEC" w:rsidRDefault="004F5CEC" w:rsidP="007B32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8F6A86" w:rsidRPr="004F5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22C" w:rsidRPr="004F5CEC" w:rsidRDefault="007B322C" w:rsidP="007B32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B322C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B322C" w:rsidSect="007B32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68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словия реализации </w:t>
      </w:r>
      <w:r w:rsidR="0068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</w:t>
      </w:r>
    </w:p>
    <w:p w:rsidR="007B322C" w:rsidRPr="007B322C" w:rsidRDefault="007B322C" w:rsidP="007B32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 ОПД.02 «Охрана труда» требует наличия учебного кабинета.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кабинета: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посадочные места по количеству обучающихся – </w:t>
      </w:r>
      <w:r w:rsidR="0068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 – 1 место;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комплекты стендов: «Медико-санитарная подготовка», «Гражданская оборона»;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комплекты плакатов: «Безопасность жизнедеятельности», «Охрана труда», «Медико-с</w:t>
      </w:r>
      <w:r w:rsidR="0068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анитарная подготовка»</w:t>
      </w: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табельных и подручных сре</w:t>
      </w:r>
      <w:proofErr w:type="gram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доврачебной медицинской помощи;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комплект средств индивидуальной защиты (противогазы, респираторы,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маски);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первичных средств пожаротушения;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бланков документации;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дидактического материала (карточки-задания, тесты, раздаточный материал для</w:t>
      </w:r>
      <w:proofErr w:type="gramEnd"/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выполнения практических и контрольных работ);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комплект мультимедийных презентаций,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рабочих мест: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учащихся;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письменные принадлежности.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7B322C" w:rsidRPr="007B322C" w:rsidRDefault="007B322C" w:rsidP="007B32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Девисилов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Охрана труда: Учебник. – М.: ИНФРА-М, 2009</w:t>
      </w:r>
    </w:p>
    <w:p w:rsidR="00684E45" w:rsidRDefault="007B322C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Кланица</w:t>
      </w:r>
      <w:proofErr w:type="spellEnd"/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Охрана труда на автомобильном транспорте. – М.: Академия, 2010     </w:t>
      </w:r>
    </w:p>
    <w:p w:rsidR="00684E45" w:rsidRDefault="00684E45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E45" w:rsidRDefault="00684E45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E45" w:rsidRDefault="00684E45" w:rsidP="007B3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22C" w:rsidRPr="007B322C" w:rsidRDefault="007B322C" w:rsidP="007B32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84E45" w:rsidRDefault="00684E45" w:rsidP="007B3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84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3D5" w:rsidRDefault="003463D5" w:rsidP="009C6755">
      <w:pPr>
        <w:spacing w:after="0" w:line="240" w:lineRule="auto"/>
      </w:pPr>
    </w:p>
    <w:sectPr w:rsidR="003463D5" w:rsidSect="00684E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7E"/>
    <w:multiLevelType w:val="multilevel"/>
    <w:tmpl w:val="ED927F7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4E0727DD"/>
    <w:multiLevelType w:val="hybridMultilevel"/>
    <w:tmpl w:val="34305C2C"/>
    <w:lvl w:ilvl="0" w:tplc="695443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2"/>
    <w:rsid w:val="000C56B7"/>
    <w:rsid w:val="00163977"/>
    <w:rsid w:val="001F525E"/>
    <w:rsid w:val="00290F34"/>
    <w:rsid w:val="002A225B"/>
    <w:rsid w:val="00312E92"/>
    <w:rsid w:val="003463D5"/>
    <w:rsid w:val="00356589"/>
    <w:rsid w:val="003626B0"/>
    <w:rsid w:val="003C7E81"/>
    <w:rsid w:val="004F5CEC"/>
    <w:rsid w:val="005E5F45"/>
    <w:rsid w:val="00684E45"/>
    <w:rsid w:val="007855C7"/>
    <w:rsid w:val="007B322C"/>
    <w:rsid w:val="008E7D6E"/>
    <w:rsid w:val="008F6A86"/>
    <w:rsid w:val="00912E15"/>
    <w:rsid w:val="009C6755"/>
    <w:rsid w:val="00C0148F"/>
    <w:rsid w:val="00D800F6"/>
    <w:rsid w:val="00E307C2"/>
    <w:rsid w:val="00E61702"/>
    <w:rsid w:val="00E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B322C"/>
  </w:style>
  <w:style w:type="character" w:customStyle="1" w:styleId="c15">
    <w:name w:val="c15"/>
    <w:basedOn w:val="a0"/>
    <w:rsid w:val="007B322C"/>
  </w:style>
  <w:style w:type="character" w:customStyle="1" w:styleId="c23">
    <w:name w:val="c23"/>
    <w:basedOn w:val="a0"/>
    <w:rsid w:val="007B322C"/>
  </w:style>
  <w:style w:type="paragraph" w:customStyle="1" w:styleId="c36">
    <w:name w:val="c36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322C"/>
  </w:style>
  <w:style w:type="paragraph" w:customStyle="1" w:styleId="c2">
    <w:name w:val="c2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22C"/>
  </w:style>
  <w:style w:type="character" w:styleId="a3">
    <w:name w:val="Hyperlink"/>
    <w:basedOn w:val="a0"/>
    <w:uiPriority w:val="99"/>
    <w:semiHidden/>
    <w:unhideWhenUsed/>
    <w:rsid w:val="007B322C"/>
    <w:rPr>
      <w:color w:val="0000FF"/>
      <w:u w:val="single"/>
    </w:rPr>
  </w:style>
  <w:style w:type="paragraph" w:customStyle="1" w:styleId="c57">
    <w:name w:val="c57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B322C"/>
  </w:style>
  <w:style w:type="character" w:customStyle="1" w:styleId="c15">
    <w:name w:val="c15"/>
    <w:basedOn w:val="a0"/>
    <w:rsid w:val="007B322C"/>
  </w:style>
  <w:style w:type="character" w:customStyle="1" w:styleId="c23">
    <w:name w:val="c23"/>
    <w:basedOn w:val="a0"/>
    <w:rsid w:val="007B322C"/>
  </w:style>
  <w:style w:type="paragraph" w:customStyle="1" w:styleId="c36">
    <w:name w:val="c36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322C"/>
  </w:style>
  <w:style w:type="paragraph" w:customStyle="1" w:styleId="c2">
    <w:name w:val="c2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22C"/>
  </w:style>
  <w:style w:type="character" w:styleId="a3">
    <w:name w:val="Hyperlink"/>
    <w:basedOn w:val="a0"/>
    <w:uiPriority w:val="99"/>
    <w:semiHidden/>
    <w:unhideWhenUsed/>
    <w:rsid w:val="007B322C"/>
    <w:rPr>
      <w:color w:val="0000FF"/>
      <w:u w:val="single"/>
    </w:rPr>
  </w:style>
  <w:style w:type="paragraph" w:customStyle="1" w:styleId="c57">
    <w:name w:val="c57"/>
    <w:basedOn w:val="a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BF3-5299-44C2-9881-41154F9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3</cp:lastModifiedBy>
  <cp:revision>10</cp:revision>
  <dcterms:created xsi:type="dcterms:W3CDTF">2015-09-01T06:46:00Z</dcterms:created>
  <dcterms:modified xsi:type="dcterms:W3CDTF">2017-09-07T03:53:00Z</dcterms:modified>
</cp:coreProperties>
</file>